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742"/>
        <w:gridCol w:w="1123"/>
        <w:gridCol w:w="4490"/>
      </w:tblGrid>
      <w:tr w:rsidR="00E05530" w:rsidRPr="00E05530" w:rsidTr="00E05530">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E05530" w:rsidRPr="00E05530" w:rsidRDefault="00E05530" w:rsidP="00E05530">
            <w:pPr>
              <w:spacing w:after="0" w:line="270" w:lineRule="atLeast"/>
              <w:jc w:val="center"/>
              <w:textAlignment w:val="baseline"/>
              <w:rPr>
                <w:rFonts w:ascii="Arial" w:eastAsia="Times New Roman" w:hAnsi="Arial" w:cs="Arial"/>
                <w:color w:val="444444"/>
                <w:sz w:val="18"/>
                <w:szCs w:val="18"/>
              </w:rPr>
            </w:pPr>
            <w:r w:rsidRPr="00E05530">
              <w:rPr>
                <w:rFonts w:ascii="Arial" w:eastAsia="Times New Roman" w:hAnsi="Arial" w:cs="Arial"/>
                <w:b/>
                <w:bCs/>
                <w:color w:val="444444"/>
                <w:sz w:val="18"/>
                <w:szCs w:val="18"/>
                <w:bdr w:val="none" w:sz="0" w:space="0" w:color="auto" w:frame="1"/>
              </w:rPr>
              <w:t>UỶ BAN THƯỜNG VỤ QUỐC HỘI</w:t>
            </w:r>
          </w:p>
          <w:p w:rsidR="00E05530" w:rsidRPr="00E05530" w:rsidRDefault="00E05530" w:rsidP="00E05530">
            <w:pPr>
              <w:spacing w:after="0" w:line="270" w:lineRule="atLeast"/>
              <w:jc w:val="center"/>
              <w:textAlignment w:val="baseline"/>
              <w:rPr>
                <w:rFonts w:ascii="Arial" w:eastAsia="Times New Roman" w:hAnsi="Arial" w:cs="Arial"/>
                <w:color w:val="444444"/>
                <w:sz w:val="18"/>
                <w:szCs w:val="18"/>
              </w:rPr>
            </w:pPr>
            <w:r w:rsidRPr="00E05530">
              <w:rPr>
                <w:rFonts w:ascii="Arial" w:eastAsia="Times New Roman" w:hAnsi="Arial" w:cs="Arial"/>
                <w:color w:val="444444"/>
                <w:sz w:val="18"/>
                <w:szCs w:val="18"/>
              </w:rPr>
              <w:t>Số: 03/1998/PL-UBTVQH10</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E05530" w:rsidRPr="00E05530" w:rsidRDefault="00E05530" w:rsidP="00E05530">
            <w:pPr>
              <w:spacing w:after="0" w:line="270" w:lineRule="atLeast"/>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E05530" w:rsidRPr="00E05530" w:rsidRDefault="00E05530" w:rsidP="00E05530">
            <w:pPr>
              <w:spacing w:after="0" w:line="270" w:lineRule="atLeast"/>
              <w:jc w:val="center"/>
              <w:textAlignment w:val="baseline"/>
              <w:rPr>
                <w:rFonts w:ascii="Arial" w:eastAsia="Times New Roman" w:hAnsi="Arial" w:cs="Arial"/>
                <w:color w:val="444444"/>
                <w:sz w:val="18"/>
                <w:szCs w:val="18"/>
              </w:rPr>
            </w:pPr>
            <w:r w:rsidRPr="00E05530">
              <w:rPr>
                <w:rFonts w:ascii="Arial" w:eastAsia="Times New Roman" w:hAnsi="Arial" w:cs="Arial"/>
                <w:b/>
                <w:bCs/>
                <w:color w:val="444444"/>
                <w:sz w:val="18"/>
                <w:szCs w:val="18"/>
                <w:bdr w:val="none" w:sz="0" w:space="0" w:color="auto" w:frame="1"/>
              </w:rPr>
              <w:t>CỘNG HOÀ XÃ HỘI CHỦ NGHĨA VIỆT NAM</w:t>
            </w:r>
          </w:p>
          <w:p w:rsidR="00E05530" w:rsidRPr="00E05530" w:rsidRDefault="00E05530" w:rsidP="00E05530">
            <w:pPr>
              <w:spacing w:after="0" w:line="270" w:lineRule="atLeast"/>
              <w:jc w:val="center"/>
              <w:textAlignment w:val="baseline"/>
              <w:rPr>
                <w:rFonts w:ascii="Arial" w:eastAsia="Times New Roman" w:hAnsi="Arial" w:cs="Arial"/>
                <w:color w:val="444444"/>
                <w:sz w:val="18"/>
                <w:szCs w:val="18"/>
              </w:rPr>
            </w:pPr>
            <w:r w:rsidRPr="00E05530">
              <w:rPr>
                <w:rFonts w:ascii="Arial" w:eastAsia="Times New Roman" w:hAnsi="Arial" w:cs="Arial"/>
                <w:b/>
                <w:bCs/>
                <w:color w:val="444444"/>
                <w:sz w:val="18"/>
                <w:szCs w:val="18"/>
                <w:bdr w:val="none" w:sz="0" w:space="0" w:color="auto" w:frame="1"/>
              </w:rPr>
              <w:t>Độc lập - Tự do - Hạnh phúc</w:t>
            </w:r>
          </w:p>
          <w:p w:rsidR="00E05530" w:rsidRPr="00E05530" w:rsidRDefault="00E05530" w:rsidP="00E05530">
            <w:pPr>
              <w:spacing w:after="0" w:line="270" w:lineRule="atLeast"/>
              <w:jc w:val="right"/>
              <w:textAlignment w:val="baseline"/>
              <w:rPr>
                <w:rFonts w:ascii="Arial" w:eastAsia="Times New Roman" w:hAnsi="Arial" w:cs="Arial"/>
                <w:color w:val="444444"/>
                <w:sz w:val="18"/>
                <w:szCs w:val="18"/>
              </w:rPr>
            </w:pPr>
            <w:r w:rsidRPr="00E05530">
              <w:rPr>
                <w:rFonts w:ascii="Arial" w:eastAsia="Times New Roman" w:hAnsi="Arial" w:cs="Arial"/>
                <w:i/>
                <w:iCs/>
                <w:color w:val="444444"/>
                <w:sz w:val="18"/>
                <w:szCs w:val="18"/>
                <w:bdr w:val="none" w:sz="0" w:space="0" w:color="auto" w:frame="1"/>
              </w:rPr>
              <w:t>Hà Nội, ngày 26</w:t>
            </w:r>
            <w:r w:rsidRPr="00E05530">
              <w:rPr>
                <w:rFonts w:ascii="Arial" w:eastAsia="Times New Roman" w:hAnsi="Arial" w:cs="Arial"/>
                <w:i/>
                <w:iCs/>
                <w:color w:val="444444"/>
                <w:sz w:val="18"/>
              </w:rPr>
              <w:t> </w:t>
            </w:r>
            <w:r w:rsidRPr="00E05530">
              <w:rPr>
                <w:rFonts w:ascii="Arial" w:eastAsia="Times New Roman" w:hAnsi="Arial" w:cs="Arial"/>
                <w:i/>
                <w:iCs/>
                <w:color w:val="444444"/>
                <w:sz w:val="18"/>
                <w:szCs w:val="18"/>
                <w:bdr w:val="none" w:sz="0" w:space="0" w:color="auto" w:frame="1"/>
              </w:rPr>
              <w:t>tháng 02</w:t>
            </w:r>
            <w:r w:rsidRPr="00E05530">
              <w:rPr>
                <w:rFonts w:ascii="Arial" w:eastAsia="Times New Roman" w:hAnsi="Arial" w:cs="Arial"/>
                <w:i/>
                <w:iCs/>
                <w:color w:val="444444"/>
                <w:sz w:val="18"/>
              </w:rPr>
              <w:t> </w:t>
            </w:r>
            <w:r w:rsidRPr="00E05530">
              <w:rPr>
                <w:rFonts w:ascii="Arial" w:eastAsia="Times New Roman" w:hAnsi="Arial" w:cs="Arial"/>
                <w:i/>
                <w:iCs/>
                <w:color w:val="444444"/>
                <w:sz w:val="18"/>
                <w:szCs w:val="18"/>
                <w:bdr w:val="none" w:sz="0" w:space="0" w:color="auto" w:frame="1"/>
              </w:rPr>
              <w:t>năm 1998</w:t>
            </w:r>
            <w:r w:rsidRPr="00E05530">
              <w:rPr>
                <w:rFonts w:ascii="Arial" w:eastAsia="Times New Roman" w:hAnsi="Arial" w:cs="Arial"/>
                <w:color w:val="444444"/>
                <w:sz w:val="18"/>
                <w:szCs w:val="18"/>
              </w:rPr>
              <w:t>                          </w:t>
            </w:r>
          </w:p>
        </w:tc>
      </w:tr>
      <w:tr w:rsidR="00E05530" w:rsidRPr="00E05530" w:rsidTr="00E05530">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05530" w:rsidRPr="00E05530" w:rsidRDefault="00E05530" w:rsidP="00E05530">
            <w:pPr>
              <w:spacing w:after="0" w:line="270" w:lineRule="atLeast"/>
              <w:rPr>
                <w:rFonts w:ascii="Arial" w:eastAsia="Times New Roman" w:hAnsi="Arial" w:cs="Arial"/>
                <w:color w:val="444444"/>
                <w:sz w:val="18"/>
                <w:szCs w:val="18"/>
              </w:rPr>
            </w:pPr>
          </w:p>
        </w:tc>
      </w:tr>
      <w:tr w:rsidR="00E05530" w:rsidRPr="00E05530" w:rsidTr="00E05530">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PHÁP LỆNH</w:t>
            </w:r>
          </w:p>
          <w:p w:rsidR="00E05530" w:rsidRPr="00E05530" w:rsidRDefault="00E05530" w:rsidP="00E05530">
            <w:pPr>
              <w:spacing w:after="0" w:line="270" w:lineRule="atLeast"/>
              <w:jc w:val="center"/>
              <w:textAlignment w:val="baseline"/>
              <w:rPr>
                <w:rFonts w:eastAsia="Times New Roman"/>
                <w:b/>
                <w:bCs/>
                <w:i/>
                <w:iCs/>
                <w:color w:val="444444"/>
                <w:sz w:val="18"/>
                <w:szCs w:val="18"/>
                <w:bdr w:val="none" w:sz="0" w:space="0" w:color="auto" w:frame="1"/>
              </w:rPr>
            </w:pPr>
            <w:r w:rsidRPr="00E05530">
              <w:rPr>
                <w:rFonts w:eastAsia="Times New Roman"/>
                <w:b/>
                <w:bCs/>
                <w:i/>
                <w:iCs/>
                <w:color w:val="444444"/>
                <w:sz w:val="18"/>
                <w:szCs w:val="18"/>
                <w:bdr w:val="none" w:sz="0" w:space="0" w:color="auto" w:frame="1"/>
              </w:rPr>
              <w:t>Chống tham nhũng</w:t>
            </w:r>
          </w:p>
          <w:p w:rsidR="00E05530" w:rsidRPr="00E05530" w:rsidRDefault="00E05530" w:rsidP="00E05530">
            <w:pPr>
              <w:spacing w:after="0" w:line="270" w:lineRule="atLeast"/>
              <w:jc w:val="center"/>
              <w:textAlignment w:val="baseline"/>
              <w:rPr>
                <w:rFonts w:eastAsia="Times New Roman"/>
                <w:b/>
                <w:bCs/>
                <w:i/>
                <w:iCs/>
                <w:color w:val="444444"/>
                <w:sz w:val="18"/>
                <w:szCs w:val="18"/>
                <w:bdr w:val="none" w:sz="0" w:space="0" w:color="auto" w:frame="1"/>
              </w:rPr>
            </w:pPr>
            <w:r w:rsidRPr="00E05530">
              <w:rPr>
                <w:rFonts w:eastAsia="Times New Roman"/>
                <w:b/>
                <w:bCs/>
                <w:i/>
                <w:iCs/>
                <w:color w:val="444444"/>
                <w:sz w:val="18"/>
                <w:szCs w:val="18"/>
                <w:bdr w:val="none" w:sz="0" w:space="0" w:color="auto" w:frame="1"/>
              </w:rPr>
              <w:t> </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i/>
                <w:iCs/>
                <w:color w:val="444444"/>
                <w:sz w:val="18"/>
                <w:szCs w:val="18"/>
                <w:bdr w:val="none" w:sz="0" w:space="0" w:color="auto" w:frame="1"/>
              </w:rPr>
              <w:t>Để nâng cao hiệu quả của việc phòng ngừa và đấu tranh chống tham nhũng, tăng cường kỷ cương pháp luật, bảo vệ lợi ích của Nhà nước, tập thể, quyền và lợi ích hợp pháp của cá nhân;</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i/>
                <w:iCs/>
                <w:color w:val="444444"/>
                <w:sz w:val="18"/>
                <w:szCs w:val="18"/>
                <w:bdr w:val="none" w:sz="0" w:space="0" w:color="auto" w:frame="1"/>
              </w:rPr>
              <w:t>Căn cứ vào Hiến pháp nước Cộng hoà xã hội chủ nghĩa Việt Nam năm 1992;</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i/>
                <w:iCs/>
                <w:color w:val="444444"/>
                <w:sz w:val="18"/>
                <w:szCs w:val="18"/>
                <w:bdr w:val="none" w:sz="0" w:space="0" w:color="auto" w:frame="1"/>
              </w:rPr>
              <w:t>Căn cứ vào Nghị quyết của Quốc hội khoá X, kỳ họp thứ 2 về Chương trình xây dựng luật, pháp lệnh năm 1998;</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i/>
                <w:iCs/>
                <w:color w:val="444444"/>
                <w:sz w:val="18"/>
                <w:szCs w:val="18"/>
                <w:bdr w:val="none" w:sz="0" w:space="0" w:color="auto" w:frame="1"/>
              </w:rPr>
              <w:t>Pháp lệnh này quy định các biện pháp phòng ngừa, phát hiện hành vi tham nhũng, xử lý người có hành vi tham nhũng và trách nhiệm của các cơ quan, tổ chức, cá nhân trong phòng ngừa và đấu tranh chống tham nhũng,</w:t>
            </w:r>
          </w:p>
          <w:p w:rsidR="00E05530" w:rsidRPr="00E05530" w:rsidRDefault="00E05530" w:rsidP="00E05530">
            <w:pPr>
              <w:spacing w:after="0" w:line="270" w:lineRule="atLeast"/>
              <w:textAlignment w:val="baseline"/>
              <w:rPr>
                <w:rFonts w:eastAsia="Times New Roman"/>
                <w:b/>
                <w:bCs/>
                <w:i/>
                <w:iCs/>
                <w:color w:val="444444"/>
                <w:sz w:val="18"/>
                <w:szCs w:val="18"/>
                <w:bdr w:val="none" w:sz="0" w:space="0" w:color="auto" w:frame="1"/>
              </w:rPr>
            </w:pPr>
            <w:r w:rsidRPr="00E05530">
              <w:rPr>
                <w:rFonts w:eastAsia="Times New Roman"/>
                <w:b/>
                <w:bCs/>
                <w:i/>
                <w:iCs/>
                <w:color w:val="444444"/>
                <w:sz w:val="18"/>
                <w:szCs w:val="18"/>
                <w:bdr w:val="none" w:sz="0" w:space="0" w:color="auto" w:frame="1"/>
              </w:rPr>
              <w:t> </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CHƯƠNG</w:t>
            </w:r>
            <w:r w:rsidRPr="00E05530">
              <w:rPr>
                <w:rFonts w:eastAsia="Times New Roman"/>
                <w:b/>
                <w:bCs/>
                <w:color w:val="444444"/>
                <w:sz w:val="18"/>
              </w:rPr>
              <w:t> </w:t>
            </w:r>
            <w:bookmarkStart w:id="0" w:name="Chuong_I"/>
            <w:bookmarkEnd w:id="0"/>
            <w:r w:rsidRPr="00E05530">
              <w:rPr>
                <w:rFonts w:eastAsia="Times New Roman"/>
                <w:b/>
                <w:bCs/>
                <w:color w:val="444444"/>
                <w:sz w:val="18"/>
                <w:szCs w:val="18"/>
                <w:bdr w:val="none" w:sz="0" w:space="0" w:color="auto" w:frame="1"/>
              </w:rPr>
              <w:t>I</w:t>
            </w:r>
            <w:r w:rsidRPr="00E05530">
              <w:rPr>
                <w:rFonts w:eastAsia="Times New Roman"/>
                <w:b/>
                <w:bCs/>
                <w:color w:val="444444"/>
                <w:sz w:val="18"/>
                <w:szCs w:val="18"/>
                <w:bdr w:val="none" w:sz="0" w:space="0" w:color="auto" w:frame="1"/>
              </w:rPr>
              <w:br/>
              <w:t>NHỮNG QUY ĐỊNH CHUNG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 w:name="Dieu_1"/>
            <w:bookmarkEnd w:id="1"/>
            <w:r w:rsidRPr="00E05530">
              <w:rPr>
                <w:rFonts w:eastAsia="Times New Roman"/>
                <w:b/>
                <w:bCs/>
                <w:color w:val="444444"/>
                <w:sz w:val="18"/>
                <w:szCs w:val="18"/>
                <w:bdr w:val="none" w:sz="0" w:space="0" w:color="auto" w:frame="1"/>
              </w:rPr>
              <w:t>1</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Tham nhũng là hành vi của người có chức vụ, quyền hạn đã lợi dụng chức vụ, quyền hạn đó để tham ô, hối lộ hoặc cố ý làm trái pháp luật vì động cơ vụ lợi, gây thiệt hại cho tài sản của Nhà nước, tập thể và cá nhân, xâm phạm hoạt động đúng đắn của các cơ quan, tổ chức.</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Người có hành vi tham nhũng phải bị xử lý nghiêm minh theo quy định của pháp luật.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 w:name="Dieu_2"/>
            <w:bookmarkEnd w:id="2"/>
            <w:r w:rsidRPr="00E05530">
              <w:rPr>
                <w:rFonts w:eastAsia="Times New Roman"/>
                <w:b/>
                <w:bCs/>
                <w:color w:val="444444"/>
                <w:sz w:val="18"/>
                <w:szCs w:val="18"/>
                <w:bdr w:val="none" w:sz="0" w:space="0" w:color="auto" w:frame="1"/>
              </w:rPr>
              <w:t>2</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chức vụ, quyền hạn quy định trong Pháp lệnh này bao gồm:</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Cán bộ, công chức làm việc trong các cơ quan nhà nước, tổ chức chính trị, tổ chức chính trị - xã hội, cơ quan, đơn vị thuộc Quân đội nhân dân, Công an nhân dân theo quy định của Pháp lệnh cán bộ, công chức;</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Sĩ quan, hạ sĩ quan, quân nhân chuyên nghiệp, công nhân quốc phòng trong các cơ quan, đơn vị thuộc Quân đội nhân dân; sĩ quan, hạ sĩ quan chuyên nghiệp trong các cơ quan, đơn vị thuộc Công an nhân dân;</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3. Cán bộ lãnh đạo, quản lý nghiệp vụ trong các doanh nghiệp nhà nước;</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4. Cán bộ xã, phường, thị trấn;</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5. Những người khác được giao nhiệm vụ, công vụ có quyền hạn trong khi thực hiện nhiệm vụ, công vụ đó.</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 w:name="Dieu_3"/>
            <w:bookmarkEnd w:id="3"/>
            <w:r w:rsidRPr="00E05530">
              <w:rPr>
                <w:rFonts w:eastAsia="Times New Roman"/>
                <w:b/>
                <w:bCs/>
                <w:color w:val="444444"/>
                <w:sz w:val="18"/>
                <w:szCs w:val="18"/>
                <w:bdr w:val="none" w:sz="0" w:space="0" w:color="auto" w:frame="1"/>
              </w:rPr>
              <w:t>3</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Các hành vi tham nhũng quy định trong Pháp lệnh này bao gồm:</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Tham ô tài sản xã hội chủ nghĩa;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Nhận hối lộ;</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3. Dùng tài sản xã hội chủ nghĩa làm của hối lộ; lợi dụng chức vụ, quyền hạn để đưa hối lộ, môi giới hối lộ;</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4. Lợi dụng chức vụ, quyền hạn lừa đảo chiếm đoạt tài sản xã hội chủ nghĩa, lạm dụng tín nhiệm chiếm đoạt tài sản xã hội chủ nghĩa;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5. Lợi dụng chức vụ, quyền hạn sử dụng trái phép tài sản xã hội chủ nghĩa;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6. Lạm dụng chức vụ, quyền hạn chiếm đoạt tài sản của cá nhân;</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7. Lợi dụng chức vụ, quyền hạn trong khi thi hành nhiệm vụ, công vụ để vụ lợi;</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8. Lạm quyền trong khi thi hành nhiệm vụ, công vụ để vụ lợi;</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9. Lợi dụng chức vụ, quyền hạn gây ảnh hưởng đối với người khác để vụ lợi;</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10. Lập quỹ trái phép để vụ lợi;</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11. Giả mạo trong công tác để vụ lợi.</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4" w:name="Dieu_4"/>
            <w:bookmarkEnd w:id="4"/>
            <w:r w:rsidRPr="00E05530">
              <w:rPr>
                <w:rFonts w:eastAsia="Times New Roman"/>
                <w:b/>
                <w:bCs/>
                <w:color w:val="444444"/>
                <w:sz w:val="18"/>
                <w:szCs w:val="18"/>
                <w:bdr w:val="none" w:sz="0" w:space="0" w:color="auto" w:frame="1"/>
              </w:rPr>
              <w:t>4</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Mọi hành vi tham nhũng đều phải được phát hiện kịp thời. Người có hành vi tham nhũng bất kỳ ở cương vị, chức vụ nào đều phải bị xử lý kịp thời, nghiêm minh theo quy định của pháp luật.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Tài sản bị chiếm đoạt do hành vi tham nhũng phải được thu hồi; tài sản do tham nhũng mà có phải bị tịch thu; người có hành vi tham nhũng gây thiệt hại thì phải bồi thường.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5" w:name="Dieu_5"/>
            <w:bookmarkEnd w:id="5"/>
            <w:r w:rsidRPr="00E05530">
              <w:rPr>
                <w:rFonts w:eastAsia="Times New Roman"/>
                <w:b/>
                <w:bCs/>
                <w:color w:val="444444"/>
                <w:sz w:val="18"/>
                <w:szCs w:val="18"/>
                <w:bdr w:val="none" w:sz="0" w:space="0" w:color="auto" w:frame="1"/>
              </w:rPr>
              <w:t>5</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nhưng đã chủ động khai báo, tích cực hạn chế thiệt hại do hành vi trái pháp luật của mình gây ra, nộp lại tài sản đã tham nhũng, thì tuỳ từng trường hợp mà được xem xét giảm nhẹ hoặc miễn xử lý kỷ luật, giảm nhẹ hình phạt hoặc miễn truy cứu trách nhiệm hình sự theo quy định của pháp luật.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mà dùng thủ đoạn xảo quyệt để che giấu hành vi vi phạm, cản trở cơ quan, tổ chức có thẩm quyền trong việc phát hiện, xử lý thì bị nghiêm trị theo quy định của pháp luật.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6" w:name="Dieu_6"/>
            <w:bookmarkEnd w:id="6"/>
            <w:r w:rsidRPr="00E05530">
              <w:rPr>
                <w:rFonts w:eastAsia="Times New Roman"/>
                <w:b/>
                <w:bCs/>
                <w:color w:val="444444"/>
                <w:sz w:val="18"/>
                <w:szCs w:val="18"/>
                <w:bdr w:val="none" w:sz="0" w:space="0" w:color="auto" w:frame="1"/>
              </w:rPr>
              <w:t>6</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Công dân có quyền và nghĩa vụ phát hiện, tố cáo hành vi tham nhũng, tham gia phòng ngừa và đấu tranh chống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lastRenderedPageBreak/>
              <w:t>Các cơ quan, tổ chức có trách nhiệm bảo vệ quyền và lợi ích hợp pháp của người phát hiện, tố cáo hành vi tham nhũng khi người đó bị đe dọa, trả thù, trù dập.</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Cơ quan, tổ chức hữu quan có trách nhiệm cung cấp thông tin, tài liệu và thực hiện yêu cầu của cơ quan, tổ chức có thẩm quyền trong quá trình thanh tra, điều tra, xử lý người có hành vi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7" w:name="Dieu_7"/>
            <w:bookmarkEnd w:id="7"/>
            <w:r w:rsidRPr="00E05530">
              <w:rPr>
                <w:rFonts w:eastAsia="Times New Roman"/>
                <w:b/>
                <w:bCs/>
                <w:color w:val="444444"/>
                <w:sz w:val="18"/>
                <w:szCs w:val="18"/>
                <w:bdr w:val="none" w:sz="0" w:space="0" w:color="auto" w:frame="1"/>
              </w:rPr>
              <w:t>7</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đứng đầu cơ quan, tổ chức trong phạm vi nhiệm vụ, quyền hạn của mình có trách nhiệm thực hiện các biện pháp phòng ngừa, ngăn chặn hành vi tham nhũng, xử lý và tạo điều kiện để cơ quan, tổ chức có thẩm quyền xử lý người có hành vi tham nhũng; nếu thiếu trách nhiệm để xảy ra tham nhũng trong cơ quan, tổ chức mình thì bị xử lý theo quy định của pháp luật.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8" w:name="Dieu_8"/>
            <w:bookmarkEnd w:id="8"/>
            <w:r w:rsidRPr="00E05530">
              <w:rPr>
                <w:rFonts w:eastAsia="Times New Roman"/>
                <w:b/>
                <w:bCs/>
                <w:color w:val="444444"/>
                <w:sz w:val="18"/>
                <w:szCs w:val="18"/>
                <w:bdr w:val="none" w:sz="0" w:space="0" w:color="auto" w:frame="1"/>
              </w:rPr>
              <w:t>8</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Các cơ quan Thanh tra, Điều tra, Viện kiểm sát, Tòa án trong phạm vi chức năng, nhiệm vụ, quyền hạn của mình có trách nhiệm phối hợp với các cơ quan, tổ chức trong việc phát hiện hành vi tham nhũng; xử lý người có hành vi tham nhũng và phải chịu trách nhiệm trước pháp luật về kết luận, quyết định của mình trong quá trình thanh tra, điều tra, truy tố, xét xử các vụ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9" w:name="Dieu_9"/>
            <w:bookmarkEnd w:id="9"/>
            <w:r w:rsidRPr="00E05530">
              <w:rPr>
                <w:rFonts w:eastAsia="Times New Roman"/>
                <w:b/>
                <w:bCs/>
                <w:color w:val="444444"/>
                <w:sz w:val="18"/>
                <w:szCs w:val="18"/>
                <w:bdr w:val="none" w:sz="0" w:space="0" w:color="auto" w:frame="1"/>
              </w:rPr>
              <w:t>9</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Chính phủ tổ chức, chỉ đạo, kiểm tra các cấp, các ngành thực hiện việc phòng ngừa và đấu tranh chống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Các Bộ, cơ quan ngang Bộ, cơ quan thuộc Chính phủ, Uỷ ban nhân dân các cấp trong phạm vi chức năng, nhiệm vụ, quyền hạn của mình tổ chức, chỉ đạo, kiểm tra việc phòng ngừa và đấu tranh chống tham nhũng ở Bộ, ngành, địa phương.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0" w:name="Dieu_10"/>
            <w:bookmarkEnd w:id="10"/>
            <w:r w:rsidRPr="00E05530">
              <w:rPr>
                <w:rFonts w:eastAsia="Times New Roman"/>
                <w:b/>
                <w:bCs/>
                <w:color w:val="444444"/>
                <w:sz w:val="18"/>
                <w:szCs w:val="18"/>
                <w:bdr w:val="none" w:sz="0" w:space="0" w:color="auto" w:frame="1"/>
              </w:rPr>
              <w:t>10</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Uỷ ban thường vụ Quốc hội, Hội đồng dân tộc, các Uỷ ban của Quốc hội, Đoàn đại biểu Quốc hội, đại biểu Quốc hội, Hội đồng nhân dân, đại biểu Hội đồng nhân dân các cấp trong phạm vi nhiệm vụ, quyền hạn của mình có trách nhiệm giám sát các cơ quan, tổ chức trong việc phòng ngừa, phát hiện hành vi tham nhũng và xử lý người có hành vi tham nhũng; khi phát hiện có hành vi tham nhũng có quyền yêu cầu các cơ quan, tổ chức hữu quan áp dụng các biện pháp cần thiết để kịp thời ngăn chặn hành vi tham nhũng và xử lý người có hành vi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1" w:name="Dieu_11"/>
            <w:bookmarkEnd w:id="11"/>
            <w:r w:rsidRPr="00E05530">
              <w:rPr>
                <w:rFonts w:eastAsia="Times New Roman"/>
                <w:b/>
                <w:bCs/>
                <w:color w:val="444444"/>
                <w:sz w:val="18"/>
                <w:szCs w:val="18"/>
                <w:bdr w:val="none" w:sz="0" w:space="0" w:color="auto" w:frame="1"/>
              </w:rPr>
              <w:t>11</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Mặt trận Tổ quốc Việt Nam và các tổ chức thành viên có trách nhiệm động viên nhân dân tham gia tích cực vào việc phòng ngừa và đấu tranh chống tham nhũng; yêu cầu cơ quan, tổ chức có thẩm quyền kết luận, xử lý vụ tham nhũng; giám sát việc thực hiện các biện pháp phòng ngừa hành vi tham nhũng và xử lý người có hành vi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Tổ chức thanh tra nhân dân được thành lập ở cơ sở theo quy định của pháp luật dưới sự hướng dẫn của Mặt trận Tổ quốc Việt Nam, công đoàn cơ sở, có trách nhiệm phát hiện, kiến nghị với cơ quan, tổ chức có thẩm quyền xử lý và giám sát việc xử lý người có hành vi tham nhũng tại cơ quan, tổ chức, địa phương mình.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Mặt trận Tổ quốc Việt Nam và các tổ chức thành viên có quyền yêu cầu cơ quan, tổ chức có thẩm quyền xem xét lại quyết định xử lý vụ tham nhũng, nếu thấy việc xử lý chưa nghiêm minh theo quy định của pháp luật. Cơ quan, tổ chức có thẩm quyền phải xem xét và trả lời cho tổ chức đã kiến nghị, yêu cầu.</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2" w:name="Dieu_12"/>
            <w:bookmarkEnd w:id="12"/>
            <w:r w:rsidRPr="00E05530">
              <w:rPr>
                <w:rFonts w:eastAsia="Times New Roman"/>
                <w:b/>
                <w:bCs/>
                <w:color w:val="444444"/>
                <w:sz w:val="18"/>
                <w:szCs w:val="18"/>
                <w:bdr w:val="none" w:sz="0" w:space="0" w:color="auto" w:frame="1"/>
              </w:rPr>
              <w:t>12</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Cơ quan thông tin, báo chí có trách nhiệm tham gia vào việc phòng ngừa và đấu tranh chống tham nhũng; khi đưa tin công khai phải bảo đảm chính xác, trung thực, khách quan theo quy định của pháp luật về báo chí và phải chịu trách nhiệm trước pháp luật về việc đưa tin đó.</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 </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CHƯƠNG</w:t>
            </w:r>
            <w:r w:rsidRPr="00E05530">
              <w:rPr>
                <w:rFonts w:eastAsia="Times New Roman"/>
                <w:b/>
                <w:bCs/>
                <w:color w:val="444444"/>
                <w:sz w:val="18"/>
              </w:rPr>
              <w:t> </w:t>
            </w:r>
            <w:bookmarkStart w:id="13" w:name="Chuong_II"/>
            <w:bookmarkEnd w:id="13"/>
            <w:r w:rsidRPr="00E05530">
              <w:rPr>
                <w:rFonts w:eastAsia="Times New Roman"/>
                <w:b/>
                <w:bCs/>
                <w:color w:val="444444"/>
                <w:sz w:val="18"/>
                <w:szCs w:val="18"/>
                <w:bdr w:val="none" w:sz="0" w:space="0" w:color="auto" w:frame="1"/>
              </w:rPr>
              <w:t>II</w:t>
            </w:r>
            <w:r w:rsidRPr="00E05530">
              <w:rPr>
                <w:rFonts w:eastAsia="Times New Roman"/>
                <w:b/>
                <w:bCs/>
                <w:color w:val="444444"/>
                <w:sz w:val="18"/>
                <w:szCs w:val="18"/>
                <w:bdr w:val="none" w:sz="0" w:space="0" w:color="auto" w:frame="1"/>
              </w:rPr>
              <w:br/>
              <w:t>CÁC BIỆN PHÁP PHÒNG NGỪA, PHÁT HIỆN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4" w:name="Dieu_13"/>
            <w:bookmarkEnd w:id="14"/>
            <w:r w:rsidRPr="00E05530">
              <w:rPr>
                <w:rFonts w:eastAsia="Times New Roman"/>
                <w:b/>
                <w:bCs/>
                <w:color w:val="444444"/>
                <w:sz w:val="18"/>
                <w:szCs w:val="18"/>
                <w:bdr w:val="none" w:sz="0" w:space="0" w:color="auto" w:frame="1"/>
              </w:rPr>
              <w:t>13</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1. Người có chức vụ, quyền hạn không được làm những việc sau đây:</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a) Sách nhiễu, gây khó khăn, phiền hà trong khi giải quyết công việc của cơ quan, tổ chức, cá nhân;</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b) Nhận tiền, tài sản hoặc lợi ích vật chất khác của cơ quan, tổ chức, cá nhân liên quan đến công việc mà mình giải quyết;</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c) Chi tiền công quỹ cho việc tặng quà hoặc chia cho cán bộ, công chức và những người khác ngoài quy định của Nhà nước;</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d) Can thiệp bất hợp pháp vào việc xem xét, giải quyết lợi ích cho mình, cho người khác hoặc để người khác lợi dụng ảnh hưởng của mình làm trái pháp luật, thu lợi bất chính;</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đ) Lợi dụng chức vụ, quyền hạn để vay, cho vay tiền của công quỹ, của ngân hàng hoặc của tổ chức tín dụng; lợi dụng chức vụ, quyền hạn để bảo lãnh cho người khác vay tiền của công quỹ, của ngân hàng hoặc của tổ chức tín dụng;</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e) Dùng tiền công quỹ, nhà, đất hoặc tài sản khác của cơ quan, tổ chức hoặc lợi dụng công sức của người do mình quản lý để thu lợi bất chính;</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g) Lợi dụng chức vụ, quyền hạn để chiếm dụng đất, sử dụng đất để phát canh thu tô hoặc kinh doanh trái pháp luật dưới các hình thức khác;</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h) Tiết lộ thông tin kinh tế và các thông tin khác chưa được phép công bố;</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i) Gửi tiền, kim khí quý, đá quý vào ngân hàng nước ngoài.</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 xml:space="preserve">2. Những người quy định tại các điểm 1, 2 và 3 Điều 2 của Pháp lệnh này không được thành lập, tham gia thành lập hoặc tham </w:t>
            </w:r>
            <w:r w:rsidRPr="00E05530">
              <w:rPr>
                <w:rFonts w:eastAsia="Times New Roman"/>
                <w:color w:val="444444"/>
                <w:sz w:val="18"/>
                <w:szCs w:val="18"/>
              </w:rPr>
              <w:lastRenderedPageBreak/>
              <w:t>gia quản lý điều hành các doanh nghiệp tư nhân, công ty trách nhiệm hữu hạn, công ty cổ phần, hợp tác xã, bệnh viện tư, trường học tư, tổ chức nghiên cứu khoa học tư.</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Người đứng đầu, cấp phó của người đứng đầu cơ quan, vợ hoặc chồng, bố, mẹ, con của những người đó không được góp vốn vào doanh nghiệp hoạt động trong phạm vi ngành, nghề mà người đó trực tiếp thực hiện việc quản lý nhà nước.</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Đối với các doanh nghiệp nhà nước được cổ phần hoá, thì cán bộ lãnh đạo, quản lý nghiệp vụ của doanh nghiệp, vợ hoặc chồng, bố, mẹ, con của họ làm việc tại doanh nghiệp đó chỉ được mua cổ phần không vượt quá mức cổ phần bình quân của các cổ đông.</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3. Người đứng đầu và cấp phó của người đứng đầu cơ quan, tổ chức không được bố trí vợ hoặc chồng, bố, mẹ, con, anh, chị, em ruột của mình giữ chức vụ lãnh đạo về tổ chức nhân sự, kế toán - tài vụ; làm thủ quỹ, thủ kho trong cơ quan, tổ chức hoặc mua bán vật tư, hàng hóa, giao dịch, ký kết hợp đồng cho cơ quan, tổ chức đó.</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4. Chính phủ quy định chi tiết việc áp dụng những quy định tại Điều này.</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5" w:name="Dieu_14"/>
            <w:bookmarkEnd w:id="15"/>
            <w:r w:rsidRPr="00E05530">
              <w:rPr>
                <w:rFonts w:eastAsia="Times New Roman"/>
                <w:b/>
                <w:bCs/>
                <w:color w:val="444444"/>
                <w:sz w:val="18"/>
                <w:szCs w:val="18"/>
                <w:bdr w:val="none" w:sz="0" w:space="0" w:color="auto" w:frame="1"/>
              </w:rPr>
              <w:t>14</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Người có chức vụ, quyền hạn phải kê khai nhà, đất và các loại tài sản khác có giá trị lớn của mình.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Người kê khai phải kê khai chính xác, trung thực và chịu trách nhiệm trước pháp luật về nội dung kê khai.</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3. Chính phủ quy định cụ thể đối tượng phải kê khai, các loại tài sản phải kê khai, thời điểm, trình tự và thủ tục kê khai.</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6" w:name="Dieu_15"/>
            <w:bookmarkEnd w:id="16"/>
            <w:r w:rsidRPr="00E05530">
              <w:rPr>
                <w:rFonts w:eastAsia="Times New Roman"/>
                <w:b/>
                <w:bCs/>
                <w:color w:val="444444"/>
                <w:sz w:val="18"/>
                <w:szCs w:val="18"/>
                <w:bdr w:val="none" w:sz="0" w:space="0" w:color="auto" w:frame="1"/>
              </w:rPr>
              <w:t>15</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Cơ quan, tổ chức có thẩm quyền quản lý trong lĩnh vực nhà, đất, xây dựng, đăng ký kinh doanh, xét duyệt dự án, cấp vốn ngân sách nhà nước, tín dụng, ngân hàng, xuất nhập khẩu, xuất nhập cảnh, quản lý hộ khẩu, thuế, hải quan, bảo hiểm và các cơ quan khác trực tiếp giải quyết công việc của cơ quan, tổ chức, cá nhân phải công khai thủ tục hành chính, giải quyết đúng thời hạn, đúng pháp luật và đúng yêu cầu hợp pháp của cơ quan, tổ chức, cá nhân.</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Nghiêm cấm việc tự đặt ra các thủ tục, phí, lệ phí ngoài quy định của pháp luật.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Việc cấp phát, sử dụng kinh phí ngân sách nhà nước, vốn và tài sản nhà nước cho các dự án, chương trình có mục tiêu đã được cơ quan, tổ chức có thẩm quyền phê duyệt phải thực hiện theo đúng quy định của pháp luật, đúng nội dung đã được phê duyệt và phải công khai cho các cơ quan, tổ chức có liên quan và nhân dân nơi trực tiếp sử dụng biết.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3. Việc huy động nguồn vốn đóng góp của nhân dân để đầu tư xây dựng các công trình, lập các quỹ ngoài quy định của Nhà nước phải được nhân dân bàn bạc, quyết định. Việc sử dụng nguồn vốn đó phải đúng mục đích, công khai để nhân dân giám sát và chịu sự thanh tra, kiểm tra của các cơ quan nhà nước có thẩm quyền.</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7" w:name="Dieu_16"/>
            <w:bookmarkEnd w:id="17"/>
            <w:r w:rsidRPr="00E05530">
              <w:rPr>
                <w:rFonts w:eastAsia="Times New Roman"/>
                <w:b/>
                <w:bCs/>
                <w:color w:val="444444"/>
                <w:sz w:val="18"/>
                <w:szCs w:val="18"/>
                <w:bdr w:val="none" w:sz="0" w:space="0" w:color="auto" w:frame="1"/>
              </w:rPr>
              <w:t>16</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Người đứng đầu cơ quan, tổ chức phải gương mẫu, liêm khiết; định kỳ kiểm điểm việc thực hiện chức trách, nhiệm vụ và kiểm điểm trách nhiệm của mình trong việc phòng ngừa, phát hiện hành vi tham nhũng, xử lý người có hành vi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Người đứng đầu cơ quan, tổ chức phải thường xuyên tiến hành kiểm tra, thanh tra việc thực hiện chức trách, nhiệm vụ được giao của cơ quan, tổ chức, cá nhân thuộc quyền; áp dụng các biện pháp phòng ngừa, phát hiện hành vi tham nhũng, xử lý người có hành vi tham nhũng và thông báo cho cơ quan nhà nước có thẩm quyền theo quy định của pháp luật.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8" w:name="Dieu_17"/>
            <w:bookmarkEnd w:id="18"/>
            <w:r w:rsidRPr="00E05530">
              <w:rPr>
                <w:rFonts w:eastAsia="Times New Roman"/>
                <w:b/>
                <w:bCs/>
                <w:color w:val="444444"/>
                <w:sz w:val="18"/>
                <w:szCs w:val="18"/>
                <w:bdr w:val="none" w:sz="0" w:space="0" w:color="auto" w:frame="1"/>
              </w:rPr>
              <w:t>17</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chức vụ, quyền hạn không thực hiện đầy đủ chức trách, nhiệm vụ được giao, để người khác vi phạm pháp luật thu lợi bất chính, thì tuỳ theo tính chất, mức độ vi phạm mà bị xử lý kỷ luật hoặc bị truy cứu trách nhiệm hình sự.</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19" w:name="Dieu_18"/>
            <w:bookmarkEnd w:id="19"/>
            <w:r w:rsidRPr="00E05530">
              <w:rPr>
                <w:rFonts w:eastAsia="Times New Roman"/>
                <w:b/>
                <w:bCs/>
                <w:color w:val="444444"/>
                <w:sz w:val="18"/>
                <w:szCs w:val="18"/>
                <w:bdr w:val="none" w:sz="0" w:space="0" w:color="auto" w:frame="1"/>
              </w:rPr>
              <w:t>18</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Khi phát hiện hành vi tham nhũng, công dân có trách nhiệm kịp thời tố cáo với cơ quan, tổ chức có thẩm quyền.</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Cơ quan, tổ chức có thẩm quyền nhận được tố cáo về hành vi tham nhũng phải kịp thời xử lý theo quy định của pháp luật; giữ bí mật họ tên, địa chỉ của người tố cáo.</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0" w:name="Dieu_19"/>
            <w:bookmarkEnd w:id="20"/>
            <w:r w:rsidRPr="00E05530">
              <w:rPr>
                <w:rFonts w:eastAsia="Times New Roman"/>
                <w:b/>
                <w:bCs/>
                <w:color w:val="444444"/>
                <w:sz w:val="18"/>
                <w:szCs w:val="18"/>
                <w:bdr w:val="none" w:sz="0" w:space="0" w:color="auto" w:frame="1"/>
              </w:rPr>
              <w:t>19</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Người tố cáo kịp thời hành vi tham nhũng, tạo điều kiện cho cơ quan, tổ chức có thẩm quyền phát hiện hành vi tham nhũng, xử lý người có hành vi tham nhũng thì được xét khen thưởng thích đáng theo quy định của Chính phủ.</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tố cáo hành vi tham nhũng có quyền yêu cầu các cơ quan, tổ chức hữu quan bảo vệ tính mạng, tự do, danh dự, nhân phẩm, tài sản và các quyền, lợi ích hợp pháp khác của mình. Các cơ quan, tổ chức có trách nhiệm áp dụng các biện pháp cần thiết theo thẩm quyền để bảo vệ người tố cáo.</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Nghiêm cấm mọi hành vi lợi dụng quyền tố cáo để vu cáo làm thiệt hại đến danh dự, uy tín và lợi ích của cơ quan, tổ chức, cá nhân. Người vu cáo phải bị xử lý nghiêm minh theo quy định của pháp luật.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1" w:name="Dieu_20"/>
            <w:bookmarkEnd w:id="21"/>
            <w:r w:rsidRPr="00E05530">
              <w:rPr>
                <w:rFonts w:eastAsia="Times New Roman"/>
                <w:b/>
                <w:bCs/>
                <w:color w:val="444444"/>
                <w:sz w:val="18"/>
                <w:szCs w:val="18"/>
                <w:bdr w:val="none" w:sz="0" w:space="0" w:color="auto" w:frame="1"/>
              </w:rPr>
              <w:t>20</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Trong quá trình thanh tra, điều tra, truy tố, xét xử, các cơ quan Thanh tra, Điều tra, Viện kiểm sát, Toà án phải thực hiện đúng các quy định của pháp luật để phát hiện nhanh chóng, chính xác hành vi tham nhũng và xử lý kịp thời, nghiêm minh người có hành vi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được giao nhiệm vụ thanh tra, điều tra, truy tố, xét xử do thiếu trách nhiệm mà để lọt người có hành vi tham nhũng, lọt hành vi tham nhũng, cố ý vi phạm các quy định của pháp luật, bao che cho người có hành vi tham nhũng hoặc làm oan người vô tội, thì tuỳ theo tính chất, mức độ vi phạm mà bị xử lý kỷ luật hoặc bị truy cứu trách nhiệm hình sự.</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 </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CHƯƠNG</w:t>
            </w:r>
            <w:r w:rsidRPr="00E05530">
              <w:rPr>
                <w:rFonts w:eastAsia="Times New Roman"/>
                <w:b/>
                <w:bCs/>
                <w:color w:val="444444"/>
                <w:sz w:val="18"/>
              </w:rPr>
              <w:t> </w:t>
            </w:r>
            <w:bookmarkStart w:id="22" w:name="Chuong_III"/>
            <w:bookmarkEnd w:id="22"/>
            <w:r w:rsidRPr="00E05530">
              <w:rPr>
                <w:rFonts w:eastAsia="Times New Roman"/>
                <w:b/>
                <w:bCs/>
                <w:color w:val="444444"/>
                <w:sz w:val="18"/>
                <w:szCs w:val="18"/>
                <w:bdr w:val="none" w:sz="0" w:space="0" w:color="auto" w:frame="1"/>
              </w:rPr>
              <w:t>III</w:t>
            </w:r>
            <w:r w:rsidRPr="00E05530">
              <w:rPr>
                <w:rFonts w:eastAsia="Times New Roman"/>
                <w:b/>
                <w:bCs/>
                <w:color w:val="444444"/>
                <w:sz w:val="18"/>
                <w:szCs w:val="18"/>
                <w:bdr w:val="none" w:sz="0" w:space="0" w:color="auto" w:frame="1"/>
              </w:rPr>
              <w:br/>
            </w:r>
            <w:r w:rsidRPr="00E05530">
              <w:rPr>
                <w:rFonts w:eastAsia="Times New Roman"/>
                <w:b/>
                <w:bCs/>
                <w:color w:val="444444"/>
                <w:sz w:val="18"/>
                <w:szCs w:val="18"/>
                <w:bdr w:val="none" w:sz="0" w:space="0" w:color="auto" w:frame="1"/>
              </w:rPr>
              <w:lastRenderedPageBreak/>
              <w:t>XỬ LÝ CÁC HÀNH VI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3" w:name="Dieu_21"/>
            <w:bookmarkEnd w:id="23"/>
            <w:r w:rsidRPr="00E05530">
              <w:rPr>
                <w:rFonts w:eastAsia="Times New Roman"/>
                <w:b/>
                <w:bCs/>
                <w:color w:val="444444"/>
                <w:sz w:val="18"/>
                <w:szCs w:val="18"/>
                <w:bdr w:val="none" w:sz="0" w:space="0" w:color="auto" w:frame="1"/>
              </w:rPr>
              <w:t>21</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Người có một trong những hành vi tham nhũng sau đây phải bị truy cứu trách nhiệm hình sự:</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1. Tham ô tài sản xã hội chủ nghĩa hoặc lợi dụng chức vụ, quyền hạn lừa đảo chiếm đoạt tài sản xã hội chủ nghĩa, lạm dụng chức vụ, quyền hạn chiếm đoạt tài sản của cá nhân mà giá trị tài sản từ năm triệu đồng trở lên hoặc dưới năm triệu đồng nhưng gây hậu quả nghiêm trọng, vi phạm nhiều lần, đã bị xử lý kỷ luật mà còn vi phạm;</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2. Nhận hối lộ hoặc lợi dụng chức vụ, quyền hạn gây ảnh hưởng đối với người khác để vụ lợi từ năm trăm ngàn đồng trở lên hoặc dưới năm trăm ngàn đồng nhưng gây hậu quả nghiêm trọng, vi phạm nhiều lần, đã bị xử lý kỷ luật mà còn vi phạm;</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3. Dùng tài sản xã hội chủ nghĩa làm của hối lộ hoặc lợi dụng chức vụ, quyền hạn để đưa hối lộ, môi giới hối lộ mà của hối lộ có giá trị từ năm trăm ngàn đồng trở lên hoặc dưới năm trăm ngàn đồng nhưng gây hậu quả nghiêm trọng hoặc vi phạm nhiều lần;</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4. Vì vụ lợi mà lợi dụng chức vụ, quyền hạn lập quỹ trái phép có giá trị từ năm mươi triệu đồng trở lên và đã sử dụng quỹ đó gây hậu quả nghiêm trọng hoặc đã bị xử lý kỷ luật mà còn vi phạm;</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5. Vì vụ lợi mà lợi dụng chức vụ, quyền hạn sử dụng trái phép tài sản xã hội chủ nghĩa gây hậu quả nghiêm trọng hoặc đã bị xử lý kỷ luật mà còn vi phạm;</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6. Lợi dụng chức vụ, quyền hạn để lạm dụng tín nhiệm chiếm đoạt tài sản xã hội chủ nghĩa; vì vụ lợi mà lợi dụng chức vụ, quyền hạn trong khi thi hành công vụ, lạm quyền trong khi thi hành công vụ, giả mạo trong công tác gây thiệt hại cho lợi ích của Nhà nước, của tập thể, quyền và lợi ích hợp pháp của cá nhân.</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4" w:name="Dieu_22"/>
            <w:bookmarkEnd w:id="24"/>
            <w:r w:rsidRPr="00E05530">
              <w:rPr>
                <w:rFonts w:eastAsia="Times New Roman"/>
                <w:b/>
                <w:bCs/>
                <w:color w:val="444444"/>
                <w:sz w:val="18"/>
                <w:szCs w:val="18"/>
                <w:bdr w:val="none" w:sz="0" w:space="0" w:color="auto" w:frame="1"/>
              </w:rPr>
              <w:t>22</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nhưng chưa đến mức bị truy cứu trách nhiệm hình sự, thì tuỳ theo tính chất, mức độ vi phạm, giá trị tài sản tham nhũng, mức độ thiệt hại và các tình tiết tăng nặng, giảm nhẹ quy định tại Điều 23 của Pháp lệnh này mà bị xử lý bằng một trong các hình thức kỷ luật sau đây :</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Khiển trách;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Cảnh cáo;</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3. Hạ bậc lương;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4. Hạ ngạch;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5. Cách chức, bãi nhiệm;</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6. Buộc thôi việc.</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5" w:name="Dieu_23"/>
            <w:bookmarkEnd w:id="25"/>
            <w:r w:rsidRPr="00E05530">
              <w:rPr>
                <w:rFonts w:eastAsia="Times New Roman"/>
                <w:b/>
                <w:bCs/>
                <w:color w:val="444444"/>
                <w:sz w:val="18"/>
                <w:szCs w:val="18"/>
                <w:bdr w:val="none" w:sz="0" w:space="0" w:color="auto" w:frame="1"/>
              </w:rPr>
              <w:t>23</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Các tình tiết tăng nặng để xem xét áp dụng hình thức kỷ luật đối với người có hành vi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a) Dùng thủ đoạn xảo quyệt che giấu hành vi vi phạm của mình;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b) Lợi dụng chức vụ, quyền hạn cản trở cơ quan, tổ chức có thẩm quyền trong việc phát hiện và xử lý hành vi tham nhũng của mình;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 Không chấp hành quyết định của cơ quan, tổ chức có thẩm quyền trong việc nộp lại tài sản tham nhũng hoặc bồi thường thiệt hại do hành vi tham nhũng của mình gây ra.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Các tình tiết giảm nhẹ để xem xét áp dụng hình thức kỷ luật đối với người có hành vi tham nhũng :</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a) Chủ động khai báo hành vi tham nhũng trước khi bị phát hiện;</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b) Tích cực hạn chế thiệt hại do hành vi tham nhũng của mình gây ra;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 Tự giác nộp lại tài sản tham nhũng, bồi thường thiệt hại do hành vi tham nhũng của mình gây ra.</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6" w:name="Dieu_24"/>
            <w:bookmarkEnd w:id="26"/>
            <w:r w:rsidRPr="00E05530">
              <w:rPr>
                <w:rFonts w:eastAsia="Times New Roman"/>
                <w:b/>
                <w:bCs/>
                <w:color w:val="444444"/>
                <w:sz w:val="18"/>
                <w:szCs w:val="18"/>
                <w:bdr w:val="none" w:sz="0" w:space="0" w:color="auto" w:frame="1"/>
              </w:rPr>
              <w:t>24</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bị xử lý kỷ luật bằng một trong các hình thức hạ bậc lương, hạ ngạch, cách chức, bãi nhiệm thì bị chuyển công tác khác không liên quan đến công việc dễ xảy ra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bị xử lý kỷ luật bằng hình thức buộc thôi việc, thì không được tiếp nhận làm cán bộ, công chức trong thời gian từ ba năm đến năm năm, kể từ ngày có quyết định kỷ luật.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là thành viên của cơ quan, tổ chức có điều lệ hoặc quy chế riêng thì ngoài việc bị xử lý kỷ luật theo quy định của Pháp lệnh này, còn bị xử lý theo điều lệ hoặc quy chế của cơ quan, tổ chức đó.</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tham nhũng làm việc theo chế độ hợp đồng lao động thì bị xử lý theo quy định của Bộ luật lao động và các văn bản pháp luật khác có liên quan.</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7" w:name="Dieu_25"/>
            <w:bookmarkEnd w:id="27"/>
            <w:r w:rsidRPr="00E05530">
              <w:rPr>
                <w:rFonts w:eastAsia="Times New Roman"/>
                <w:b/>
                <w:bCs/>
                <w:color w:val="444444"/>
                <w:sz w:val="18"/>
                <w:szCs w:val="18"/>
                <w:bdr w:val="none" w:sz="0" w:space="0" w:color="auto" w:frame="1"/>
              </w:rPr>
              <w:t>25</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đứng đầu cơ quan, tổ chức khi phát hiện hành vi tham nhũng trong cơ quan, tổ chức mình thì phải xem xét và xử lý người có hành vi tham nhũng theo thẩm quyền, áp dụng các biện pháp cần thiết để thu hồi tài sản đã bị chiếm đoạt và thông báo cho cơ quan, tổ chức có thẩm quyền biết; trong trường hợp có dấu hiệu của tội phạm thì phải chuyển hồ sơ hoặc báo ngay cho cơ quan Điều tra hoặc Viện kiểm sát để xem xét, xử lý.</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đứng đầu cơ quan, tổ chức không xử lý theo thẩm quyền hoặc không chuyển các vụ tham nhũng có dấu hiệu của tội phạm đến cơ quan Điều tra hoặc Viện kiểm sát theo quy định của pháp luật thì bị xử lý về hành vi bao che.</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Không được chuyển công tác, cho thôi việc hoặc hưu trí đối với người đang bị cơ quan, tổ chức có thẩm quyền xem xét về hành vi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lastRenderedPageBreak/>
              <w:t>Người có hành vi tham nhũng đã chuyển công tác, thôi việc hoặc hưu trí trước khi bị phát hiện vẫn phải chịu trách nhiệm về hành vi tham nhũng đó.</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8" w:name="Dieu_26"/>
            <w:bookmarkEnd w:id="28"/>
            <w:r w:rsidRPr="00E05530">
              <w:rPr>
                <w:rFonts w:eastAsia="Times New Roman"/>
                <w:b/>
                <w:bCs/>
                <w:color w:val="444444"/>
                <w:sz w:val="18"/>
                <w:szCs w:val="18"/>
                <w:bdr w:val="none" w:sz="0" w:space="0" w:color="auto" w:frame="1"/>
              </w:rPr>
              <w:t>26</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Trong quá trình điều tra, truy tố, xét xử các tội phạm về tham nhũng, các cơ quan Điều tra, Viện kiểm sát, Toà án có trách nhiệm xử lý nghiêm minh, kịp thời tội phạm về tham nhũng, áp dụng các biện pháp cần thiết theo quy định của pháp luật để thu hồi tài sản đã bị chiếm đoạt.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29" w:name="Dieu_27"/>
            <w:bookmarkEnd w:id="29"/>
            <w:r w:rsidRPr="00E05530">
              <w:rPr>
                <w:rFonts w:eastAsia="Times New Roman"/>
                <w:b/>
                <w:bCs/>
                <w:color w:val="444444"/>
                <w:sz w:val="18"/>
                <w:szCs w:val="18"/>
                <w:bdr w:val="none" w:sz="0" w:space="0" w:color="auto" w:frame="1"/>
              </w:rPr>
              <w:t>27</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1. Trong quá trình thanh tra, thủ trưởng cơ quan Thanh tra nhà nước có quyền áp dụng các biện pháp sau đây :</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a) Yêu cầu người đứng đầu cơ quan, tổ chức có thẩm quyền tạm đình chỉ công tác của người có hành vi tham nhũng nếu có căn cứ để cho rằng người đó có thể tiếp tục thực hiện hành vi tham nhũng hoặc cản trở việc thanh tra;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b) Niêm phong tài liệu, kê biên tài sản của cơ quan, tổ chức là đối tượng thanh tra đã được xác định là có liên quan đến vụ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 áp dụng các biện pháp khác theo quy định của pháp luật về thanh tra.</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Khi áp dụng các biện pháp quy định tại khoản này, các cơ quan Thanh tra nhà nước phải chịu trách nhiệm trước pháp luật về việc áp dụng các biện pháp đó.</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2. Khi có căn cứ kết luận hành vi tham nhũng chưa đến mức phải truy cứu trách nhiệm hình sự, thì thủ trưởng cơ quan Thanh tra nhà nước chuyển hồ sơ cho người đứng đầu cơ quan, tổ chức có thẩm quyền yêu cầu xử lý kỷ luật người có hành vi tham nhũng, áp dụng các biện pháp cần thiết để thu hồi tài sản đã bị chiếm đoạt.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3. Khi xét thấy vụ tham nhũng có dấu hiệu của tội phạm thì thủ trưởng cơ quan Thanh tra nhà nước phải chuyển ngay hồ sơ đến cơ quan Điều tra hoặc Viện kiểm sát theo quy định của pháp luật.</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0" w:name="Dieu_28"/>
            <w:bookmarkEnd w:id="30"/>
            <w:r w:rsidRPr="00E05530">
              <w:rPr>
                <w:rFonts w:eastAsia="Times New Roman"/>
                <w:b/>
                <w:bCs/>
                <w:color w:val="444444"/>
                <w:sz w:val="18"/>
                <w:szCs w:val="18"/>
                <w:bdr w:val="none" w:sz="0" w:space="0" w:color="auto" w:frame="1"/>
              </w:rPr>
              <w:t>28</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Khi nhận được yêu cầu của cơ quan Thanh tra nhà nước, cơ quan Điều tra, Viện kiểm sát, thì trong thời hạn chậm nhất là ba mươi ngày, người đứng đầu cơ quan, tổ chức phải thực hiện yêu cầu đó; trong trường hợp không thực hiện được phải nêu rõ lý do bằng văn bản.</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1" w:name="Dieu_29"/>
            <w:bookmarkEnd w:id="31"/>
            <w:r w:rsidRPr="00E05530">
              <w:rPr>
                <w:rFonts w:eastAsia="Times New Roman"/>
                <w:b/>
                <w:bCs/>
                <w:color w:val="444444"/>
                <w:sz w:val="18"/>
                <w:szCs w:val="18"/>
                <w:bdr w:val="none" w:sz="0" w:space="0" w:color="auto" w:frame="1"/>
              </w:rPr>
              <w:t>29</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Khi nhận được hồ sơ do cơ quan, tổ chức chuyển đến, cơ quan Điều tra, Viện kiểm sát phải xem xét, xử lý kịp thời theo thẩm quyền, áp dụng các biện pháp cần thiết để thu hồi tài sản đã bị chiếm đoạt và thông báo cho cơ quan, tổ chức đã chuyển đến biết kết quả.</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2" w:name="Dieu_30"/>
            <w:bookmarkEnd w:id="32"/>
            <w:r w:rsidRPr="00E05530">
              <w:rPr>
                <w:rFonts w:eastAsia="Times New Roman"/>
                <w:b/>
                <w:bCs/>
                <w:color w:val="444444"/>
                <w:sz w:val="18"/>
                <w:szCs w:val="18"/>
                <w:bdr w:val="none" w:sz="0" w:space="0" w:color="auto" w:frame="1"/>
              </w:rPr>
              <w:t>30</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bao che cho người có hành vi tham nhũng, cản trở, can thiệp việc phát hiện, xử lý người có hành vi tham nhũng thì tùy theo tính chất, mức độ vi phạm mà bị xử lý bằng một trong các hình thức kỷ luật quy định tại Điều 22 của Pháp lệnh này hoặc bị truy cứu trách nhiệm hình sự.</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có hành vi trả thù, trù dập người phát hiện, tố cáo hành vi tham nhũng thì bị nghiêm trị theo quy định của pháp luật.</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 </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CHƯƠNG</w:t>
            </w:r>
            <w:r w:rsidRPr="00E05530">
              <w:rPr>
                <w:rFonts w:eastAsia="Times New Roman"/>
                <w:b/>
                <w:bCs/>
                <w:color w:val="444444"/>
                <w:sz w:val="18"/>
              </w:rPr>
              <w:t> </w:t>
            </w:r>
            <w:bookmarkStart w:id="33" w:name="Chuong_IV"/>
            <w:bookmarkEnd w:id="33"/>
            <w:r w:rsidRPr="00E05530">
              <w:rPr>
                <w:rFonts w:eastAsia="Times New Roman"/>
                <w:b/>
                <w:bCs/>
                <w:color w:val="444444"/>
                <w:sz w:val="18"/>
                <w:szCs w:val="18"/>
                <w:bdr w:val="none" w:sz="0" w:space="0" w:color="auto" w:frame="1"/>
              </w:rPr>
              <w:t>IV</w:t>
            </w:r>
            <w:r w:rsidRPr="00E05530">
              <w:rPr>
                <w:rFonts w:eastAsia="Times New Roman"/>
                <w:b/>
                <w:bCs/>
                <w:color w:val="444444"/>
                <w:sz w:val="18"/>
                <w:szCs w:val="18"/>
                <w:bdr w:val="none" w:sz="0" w:space="0" w:color="auto" w:frame="1"/>
              </w:rPr>
              <w:br/>
              <w:t>TRÁCH NHIỆM VÀ MỐI QUAN HỆ PHỐI HỢP GIỮA CÁC CƠ QUAN, TỔ CHỨC</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TRONG VIỆC PHÒNG NGỪA VÀ XỬ LÝ NGƯỜI CÓ HÀNH VI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4" w:name="Dieu_31"/>
            <w:bookmarkEnd w:id="34"/>
            <w:r w:rsidRPr="00E05530">
              <w:rPr>
                <w:rFonts w:eastAsia="Times New Roman"/>
                <w:b/>
                <w:bCs/>
                <w:color w:val="444444"/>
                <w:sz w:val="18"/>
                <w:szCs w:val="18"/>
                <w:bdr w:val="none" w:sz="0" w:space="0" w:color="auto" w:frame="1"/>
              </w:rPr>
              <w:t>31</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Các cơ quan Điều tra, Viện kiểm sát, Tòa án trong phạm vi nhiệm vụ, quyền hạn của mình có trách nhiệm phối hợp trong việc điều tra, truy tố, xét xử các tội phạm về tham nhũng.</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Viện kiểm sát nhân dân các cấp có trách nhiệm kiểm sát việc tuân theo pháp luật trong quá trình phát hiện và xử lý các tội phạm về tham nhũng.</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Viện trưởng Viện kiểm sát nhân dân tối cao có trách nhiệm báo cáo Quốc hội, Uỷ ban thường vụ Quốc hội, Chủ tịch nước và thông báo đến Thủ tướng Chính phủ tình hình xử lý các tội phạm về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5" w:name="Dieu_32"/>
            <w:bookmarkEnd w:id="35"/>
            <w:r w:rsidRPr="00E05530">
              <w:rPr>
                <w:rFonts w:eastAsia="Times New Roman"/>
                <w:b/>
                <w:bCs/>
                <w:color w:val="444444"/>
                <w:sz w:val="18"/>
                <w:szCs w:val="18"/>
                <w:bdr w:val="none" w:sz="0" w:space="0" w:color="auto" w:frame="1"/>
              </w:rPr>
              <w:t>32</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đứng đầu cơ quan, tổ chức có trách nhiệm báo cáo với cơ quan, tổ chức cấp trên và thông báo đến cơ quan Thanh tra nhà nước cùng cấp về việc phòng ngừa, phát hiện hành vi tham nhũng và xử lý kỷ luật đối với người có hành vi tham nhũng thuộc phạm vi trách nhiệm của mình.</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Trong phạm vi nhiệm vụ, quyền hạn của mình, Chánh thanh tra các cấp, các ngành có trách nhiệm kiểm tra, đôn đốc việc phòng ngừa, phát hiện hành vi tham nhũng, xử lý người có hành vi tham nhũng trong các cơ quan, tổ chức thuộc Bộ, ngành, địa phương mình; báo cáo với thủ trưởng cơ quan quản lý nhà nước cùng cấp và cơ quan Thanh tra nhà nước cấp trên về công tác phòng ngừa và đấu tranh chống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Tổng Thanh tra nhà nước chủ trì phối hợp với Bộ trưởng Bộ Nội vụ, Bộ trưởng Bộ Quốc phòng, thủ trưởng cơ quan hữu quan giúp Thủ tướng Chính phủ hướng dẫn, kiểm tra, đôn đốc các cấp, các ngành trong việc phòng ngừa, phát hiện hành vi tham nhũng và xử lý người có hành vi tham nhũng; tổng hợp tình hình, báo cáo Chính phủ về công tác phòng ngừa và đấu tranh chống tham nhũng trong phạm vi cả nước.</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lastRenderedPageBreak/>
              <w:t>Điều</w:t>
            </w:r>
            <w:r w:rsidRPr="00E05530">
              <w:rPr>
                <w:rFonts w:eastAsia="Times New Roman"/>
                <w:b/>
                <w:bCs/>
                <w:color w:val="444444"/>
                <w:sz w:val="18"/>
              </w:rPr>
              <w:t> </w:t>
            </w:r>
            <w:bookmarkStart w:id="36" w:name="Dieu_33"/>
            <w:bookmarkEnd w:id="36"/>
            <w:r w:rsidRPr="00E05530">
              <w:rPr>
                <w:rFonts w:eastAsia="Times New Roman"/>
                <w:b/>
                <w:bCs/>
                <w:color w:val="444444"/>
                <w:sz w:val="18"/>
                <w:szCs w:val="18"/>
                <w:bdr w:val="none" w:sz="0" w:space="0" w:color="auto" w:frame="1"/>
              </w:rPr>
              <w:t>33</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Thủ tướng Chính phủ chỉ đạo các Bộ, cơ quan ngang Bộ, cơ quan thuộc Chính phủ, Uỷ ban nhân dân tỉnh, thành phố trực thuộc trung ương thực hiện việc phòng ngừa và đấu tranh chống tham nhũng; báo cáo Quốc hội, Uỷ ban thường vụ Quốc hội, Chủ tịch nước về công tác phòng ngừa và đấu tranh chống tham nhũng trong phạm vi cả nước.</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Khi cần thiết, Thủ tướng Chính phủ làm việc với Chánh án Tòa án nhân dân tối cao, Viện trưởng Viện kiểm sát nhân dân tối cao và các cơ quan hữu quan để thống nhất chỉ đạo công tác phòng ngừa và đấu tranh chống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7" w:name="Dieu_34"/>
            <w:bookmarkEnd w:id="37"/>
            <w:r w:rsidRPr="00E05530">
              <w:rPr>
                <w:rFonts w:eastAsia="Times New Roman"/>
                <w:b/>
                <w:bCs/>
                <w:color w:val="444444"/>
                <w:sz w:val="18"/>
                <w:szCs w:val="18"/>
                <w:bdr w:val="none" w:sz="0" w:space="0" w:color="auto" w:frame="1"/>
              </w:rPr>
              <w:t>34</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Người đứng đầu cơ quan, tổ chức trong phạm vi nhiệm vụ, quyền hạn của mình có trách nhiệm áp dụng các biện pháp phòng ngừa, phát hiện hành vi tham nhũng và xử lý người có hành vi tham nhũng.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Bộ trưởng, thủ trưởng cơ quan ngang Bộ, thủ trưởng cơ quan thuộc Chính phủ, Chủ tịch Uỷ ban nhân dân tỉnh, thành phố trực thuộc trung ương có trách nhiệm báo cáo Thủ tướng Chính phủ về công tác phòng ngừa và đấu tranh chống tham nhũng thuộc phạm vi Bộ, ngành, địa phương mình.</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8" w:name="Dieu_35"/>
            <w:bookmarkEnd w:id="38"/>
            <w:r w:rsidRPr="00E05530">
              <w:rPr>
                <w:rFonts w:eastAsia="Times New Roman"/>
                <w:b/>
                <w:bCs/>
                <w:color w:val="444444"/>
                <w:sz w:val="18"/>
                <w:szCs w:val="18"/>
                <w:bdr w:val="none" w:sz="0" w:space="0" w:color="auto" w:frame="1"/>
              </w:rPr>
              <w:t>35</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Uỷ ban thường vụ Quốc hội, Hội đồng dân tộc, các Uỷ ban của Quốc hội, Đoàn đại biểu Quốc hội, đại biểu Quốc hội giám sát việc thực hiện các biện pháp phòng ngừa, phát hiện hành vi tham nhũng và xử lý người có hành vi tham nhũng; giám sát hoạt động thanh tra, điều tra, truy tố, xét xử các vụ tham nhũng.</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39" w:name="Dieu_36"/>
            <w:bookmarkEnd w:id="39"/>
            <w:r w:rsidRPr="00E05530">
              <w:rPr>
                <w:rFonts w:eastAsia="Times New Roman"/>
                <w:b/>
                <w:bCs/>
                <w:color w:val="444444"/>
                <w:sz w:val="18"/>
                <w:szCs w:val="18"/>
                <w:bdr w:val="none" w:sz="0" w:space="0" w:color="auto" w:frame="1"/>
              </w:rPr>
              <w:t>36</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Hội đồng nhân dân, đại biểu Hội đồng nhân dân các cấp giám sát việc thực hiện các biện pháp phòng ngừa, phát hiện hành vi tham nhũng và xử lý người có hành vi tham nhũng; giám sát các hoạt động thanh tra, điều tra, truy tố, xét xử các vụ tham nhũng ở địa phương.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Chủ tịch Uỷ ban nhân dân, Chánh án Tòa án nhân dân, Viện trưởng Viện kiểm sát nhân dân các cấp trong phạm vi nhiệm vụ, quyền hạn của mình có trách nhiệm báo cáo Hội đồng nhân dân cùng cấp và thông báo cho Mặt trận Tổ quốc cùng cấp về công tác phòng ngừa và đấu tranh chống tham nhũng ở địa phương.</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 </w:t>
            </w:r>
          </w:p>
          <w:p w:rsidR="00E05530" w:rsidRPr="00E05530" w:rsidRDefault="00E05530" w:rsidP="00E05530">
            <w:pPr>
              <w:spacing w:after="0" w:line="270" w:lineRule="atLeast"/>
              <w:jc w:val="center"/>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CHƯƠNG</w:t>
            </w:r>
            <w:r w:rsidRPr="00E05530">
              <w:rPr>
                <w:rFonts w:eastAsia="Times New Roman"/>
                <w:b/>
                <w:bCs/>
                <w:color w:val="444444"/>
                <w:sz w:val="18"/>
              </w:rPr>
              <w:t> </w:t>
            </w:r>
            <w:bookmarkStart w:id="40" w:name="Chuong_V"/>
            <w:bookmarkEnd w:id="40"/>
            <w:r w:rsidRPr="00E05530">
              <w:rPr>
                <w:rFonts w:eastAsia="Times New Roman"/>
                <w:b/>
                <w:bCs/>
                <w:color w:val="444444"/>
                <w:sz w:val="18"/>
                <w:szCs w:val="18"/>
                <w:bdr w:val="none" w:sz="0" w:space="0" w:color="auto" w:frame="1"/>
              </w:rPr>
              <w:t>V</w:t>
            </w:r>
            <w:r w:rsidRPr="00E05530">
              <w:rPr>
                <w:rFonts w:eastAsia="Times New Roman"/>
                <w:b/>
                <w:bCs/>
                <w:color w:val="444444"/>
                <w:sz w:val="18"/>
                <w:szCs w:val="18"/>
                <w:bdr w:val="none" w:sz="0" w:space="0" w:color="auto" w:frame="1"/>
              </w:rPr>
              <w:br/>
              <w:t>ĐIỀU KHOẢN THI HÀNH</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41" w:name="Dieu_37"/>
            <w:bookmarkEnd w:id="41"/>
            <w:r w:rsidRPr="00E05530">
              <w:rPr>
                <w:rFonts w:eastAsia="Times New Roman"/>
                <w:b/>
                <w:bCs/>
                <w:color w:val="444444"/>
                <w:sz w:val="18"/>
                <w:szCs w:val="18"/>
                <w:bdr w:val="none" w:sz="0" w:space="0" w:color="auto" w:frame="1"/>
              </w:rPr>
              <w:t>37</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Pháp lệnh này có hiệu lực thi hành kể từ ngày 01 tháng 5 năm 1998.</w:t>
            </w:r>
          </w:p>
          <w:p w:rsidR="00E05530" w:rsidRPr="00E05530" w:rsidRDefault="00E05530" w:rsidP="00E05530">
            <w:pPr>
              <w:spacing w:after="0" w:line="270" w:lineRule="atLeast"/>
              <w:textAlignment w:val="baseline"/>
              <w:rPr>
                <w:rFonts w:ascii="Arial" w:eastAsia="Times New Roman" w:hAnsi="Arial" w:cs="Arial"/>
                <w:color w:val="444444"/>
                <w:sz w:val="18"/>
                <w:szCs w:val="18"/>
              </w:rPr>
            </w:pPr>
            <w:r w:rsidRPr="00E05530">
              <w:rPr>
                <w:rFonts w:eastAsia="Times New Roman"/>
                <w:color w:val="444444"/>
                <w:sz w:val="18"/>
                <w:szCs w:val="18"/>
              </w:rPr>
              <w:t>Những quy định trước đây trái với Pháp lệnh này đều bãi bỏ.</w:t>
            </w:r>
          </w:p>
          <w:p w:rsidR="00E05530" w:rsidRPr="00E05530" w:rsidRDefault="00E05530" w:rsidP="00E05530">
            <w:pPr>
              <w:spacing w:after="0" w:line="270" w:lineRule="atLeast"/>
              <w:textAlignment w:val="baseline"/>
              <w:rPr>
                <w:rFonts w:eastAsia="Times New Roman"/>
                <w:b/>
                <w:bCs/>
                <w:color w:val="444444"/>
                <w:sz w:val="18"/>
                <w:szCs w:val="18"/>
                <w:bdr w:val="none" w:sz="0" w:space="0" w:color="auto" w:frame="1"/>
              </w:rPr>
            </w:pPr>
            <w:r w:rsidRPr="00E05530">
              <w:rPr>
                <w:rFonts w:eastAsia="Times New Roman"/>
                <w:b/>
                <w:bCs/>
                <w:color w:val="444444"/>
                <w:sz w:val="18"/>
                <w:szCs w:val="18"/>
                <w:bdr w:val="none" w:sz="0" w:space="0" w:color="auto" w:frame="1"/>
              </w:rPr>
              <w:t>Điều</w:t>
            </w:r>
            <w:r w:rsidRPr="00E05530">
              <w:rPr>
                <w:rFonts w:eastAsia="Times New Roman"/>
                <w:b/>
                <w:bCs/>
                <w:color w:val="444444"/>
                <w:sz w:val="18"/>
              </w:rPr>
              <w:t> </w:t>
            </w:r>
            <w:bookmarkStart w:id="42" w:name="Dieu_38"/>
            <w:bookmarkEnd w:id="42"/>
            <w:r w:rsidRPr="00E05530">
              <w:rPr>
                <w:rFonts w:eastAsia="Times New Roman"/>
                <w:b/>
                <w:bCs/>
                <w:color w:val="444444"/>
                <w:sz w:val="18"/>
                <w:szCs w:val="18"/>
                <w:bdr w:val="none" w:sz="0" w:space="0" w:color="auto" w:frame="1"/>
              </w:rPr>
              <w:t>38</w:t>
            </w:r>
          </w:p>
          <w:p w:rsidR="00E05530" w:rsidRPr="00E05530" w:rsidRDefault="00E05530" w:rsidP="00E05530">
            <w:pPr>
              <w:spacing w:after="0" w:line="270" w:lineRule="atLeast"/>
              <w:textAlignment w:val="baseline"/>
              <w:rPr>
                <w:rFonts w:eastAsia="Times New Roman"/>
                <w:color w:val="444444"/>
                <w:sz w:val="18"/>
                <w:szCs w:val="18"/>
              </w:rPr>
            </w:pPr>
            <w:r w:rsidRPr="00E05530">
              <w:rPr>
                <w:rFonts w:eastAsia="Times New Roman"/>
                <w:color w:val="444444"/>
                <w:sz w:val="18"/>
                <w:szCs w:val="18"/>
              </w:rPr>
              <w:t>Chính phủ, Toà án nhân dân tối cao, Viện kiểm sát nhân dân tối cao trong phạm vi nhiệm vụ, quyền hạn của mình có trách nhiệm quy định chi tiết và hướng dẫn thi hành Pháp lệnh này./.</w:t>
            </w:r>
          </w:p>
        </w:tc>
      </w:tr>
    </w:tbl>
    <w:p w:rsidR="00D0729F" w:rsidRDefault="00D0729F"/>
    <w:sectPr w:rsidR="00D0729F" w:rsidSect="0027056E">
      <w:pgSz w:w="11907" w:h="16840" w:code="9"/>
      <w:pgMar w:top="851" w:right="851" w:bottom="851" w:left="1701" w:header="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05530"/>
    <w:rsid w:val="000077BA"/>
    <w:rsid w:val="0027056E"/>
    <w:rsid w:val="0065193A"/>
    <w:rsid w:val="00773142"/>
    <w:rsid w:val="00BF70FA"/>
    <w:rsid w:val="00C01DC9"/>
    <w:rsid w:val="00D0729F"/>
    <w:rsid w:val="00D74B02"/>
    <w:rsid w:val="00E05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530"/>
  </w:style>
  <w:style w:type="paragraph" w:styleId="NormalWeb">
    <w:name w:val="Normal (Web)"/>
    <w:basedOn w:val="Normal"/>
    <w:uiPriority w:val="99"/>
    <w:unhideWhenUsed/>
    <w:rsid w:val="00E05530"/>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19109205">
      <w:bodyDiv w:val="1"/>
      <w:marLeft w:val="0"/>
      <w:marRight w:val="0"/>
      <w:marTop w:val="0"/>
      <w:marBottom w:val="0"/>
      <w:divBdr>
        <w:top w:val="none" w:sz="0" w:space="0" w:color="auto"/>
        <w:left w:val="none" w:sz="0" w:space="0" w:color="auto"/>
        <w:bottom w:val="none" w:sz="0" w:space="0" w:color="auto"/>
        <w:right w:val="none" w:sz="0" w:space="0" w:color="auto"/>
      </w:divBdr>
      <w:divsChild>
        <w:div w:id="1902054815">
          <w:marLeft w:val="0"/>
          <w:marRight w:val="0"/>
          <w:marTop w:val="0"/>
          <w:marBottom w:val="0"/>
          <w:divBdr>
            <w:top w:val="none" w:sz="0" w:space="0" w:color="auto"/>
            <w:left w:val="none" w:sz="0" w:space="0" w:color="auto"/>
            <w:bottom w:val="none" w:sz="0" w:space="0" w:color="auto"/>
            <w:right w:val="none" w:sz="0" w:space="0" w:color="auto"/>
          </w:divBdr>
        </w:div>
        <w:div w:id="646864878">
          <w:marLeft w:val="0"/>
          <w:marRight w:val="0"/>
          <w:marTop w:val="0"/>
          <w:marBottom w:val="0"/>
          <w:divBdr>
            <w:top w:val="none" w:sz="0" w:space="0" w:color="auto"/>
            <w:left w:val="none" w:sz="0" w:space="0" w:color="auto"/>
            <w:bottom w:val="none" w:sz="0" w:space="0" w:color="auto"/>
            <w:right w:val="none" w:sz="0" w:space="0" w:color="auto"/>
          </w:divBdr>
        </w:div>
        <w:div w:id="1380978446">
          <w:marLeft w:val="0"/>
          <w:marRight w:val="0"/>
          <w:marTop w:val="0"/>
          <w:marBottom w:val="0"/>
          <w:divBdr>
            <w:top w:val="none" w:sz="0" w:space="0" w:color="auto"/>
            <w:left w:val="none" w:sz="0" w:space="0" w:color="auto"/>
            <w:bottom w:val="none" w:sz="0" w:space="0" w:color="auto"/>
            <w:right w:val="none" w:sz="0" w:space="0" w:color="auto"/>
          </w:divBdr>
        </w:div>
        <w:div w:id="53990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317BCE2D16C4BB074DDF0D9C2ECBF" ma:contentTypeVersion="0" ma:contentTypeDescription="Create a new document." ma:contentTypeScope="" ma:versionID="6468c38699a8e4040a8a4595bb934a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AACC9F-C7E6-4B94-837C-AAAB400F2D4A}"/>
</file>

<file path=customXml/itemProps2.xml><?xml version="1.0" encoding="utf-8"?>
<ds:datastoreItem xmlns:ds="http://schemas.openxmlformats.org/officeDocument/2006/customXml" ds:itemID="{E6FA55D8-3C2D-4445-A0CC-15D2C785C304}"/>
</file>

<file path=customXml/itemProps3.xml><?xml version="1.0" encoding="utf-8"?>
<ds:datastoreItem xmlns:ds="http://schemas.openxmlformats.org/officeDocument/2006/customXml" ds:itemID="{67FA88AA-D41C-4DE5-9B35-64BFC8884782}"/>
</file>

<file path=docProps/app.xml><?xml version="1.0" encoding="utf-8"?>
<Properties xmlns="http://schemas.openxmlformats.org/officeDocument/2006/extended-properties" xmlns:vt="http://schemas.openxmlformats.org/officeDocument/2006/docPropsVTypes">
  <Template>Normal</Template>
  <TotalTime>2</TotalTime>
  <Pages>6</Pages>
  <Words>3633</Words>
  <Characters>20710</Characters>
  <Application>Microsoft Office Word</Application>
  <DocSecurity>0</DocSecurity>
  <Lines>172</Lines>
  <Paragraphs>48</Paragraphs>
  <ScaleCrop>false</ScaleCrop>
  <Company/>
  <LinksUpToDate>false</LinksUpToDate>
  <CharactersWithSpaces>24295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2017-04-14T10:48:00Z</dcterms:created>
  <dcterms:modified xsi:type="dcterms:W3CDTF">2017-04-14T10:50:00Z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0x0101003F6317BCE2D16C4BB074DDF0D9C2ECBF</vt:lpwstr>
  </property>
</Properties>
</file>